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DAEDE" w14:textId="77777777" w:rsidR="003358C7" w:rsidRDefault="00000000">
      <w:pPr>
        <w:pStyle w:val="Heading1"/>
      </w:pPr>
      <w:r>
        <w:t>Draft Your Assistant’s Instructions</w:t>
      </w:r>
    </w:p>
    <w:p w14:paraId="122A3BD7" w14:textId="4F51A499" w:rsidR="003358C7" w:rsidRDefault="00175C9C">
      <w:pPr>
        <w:spacing w:after="160"/>
      </w:pPr>
      <w:r>
        <w:t>The best</w:t>
      </w:r>
      <w:r w:rsidR="00000000">
        <w:t xml:space="preserve"> deployed HR assistants are built from a consistent set of categories, not a single paragraph of instructions. This template gives you those same categories. Fill in what applies to your assistant; leave the rest for later. The boxed lines show the kind of rule that almost always belongs in this section — write your own version rather than copying it.</w:t>
      </w:r>
    </w:p>
    <w:p w14:paraId="79465BA1" w14:textId="77777777" w:rsidR="003358C7" w:rsidRDefault="003358C7">
      <w:pPr>
        <w:pBdr>
          <w:bottom w:val="single" w:sz="6" w:space="1" w:color="CCCCCC"/>
        </w:pBdr>
        <w:spacing w:before="60" w:after="200"/>
      </w:pPr>
    </w:p>
    <w:p w14:paraId="1B3615FE" w14:textId="77777777" w:rsidR="003358C7" w:rsidRDefault="00000000">
      <w:pPr>
        <w:pStyle w:val="Heading2"/>
      </w:pPr>
      <w:r>
        <w:t>1. Primary Function</w:t>
      </w:r>
    </w:p>
    <w:p w14:paraId="04F67756" w14:textId="77777777" w:rsidR="003358C7" w:rsidRDefault="00000000">
      <w:pPr>
        <w:spacing w:before="160" w:after="40"/>
      </w:pPr>
      <w:r>
        <w:rPr>
          <w:b/>
          <w:bCs/>
          <w:color w:val="004F6E"/>
          <w:sz w:val="21"/>
          <w:szCs w:val="21"/>
        </w:rPr>
        <w:t>Assistant name</w:t>
      </w:r>
    </w:p>
    <w:p w14:paraId="7E4CCB58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6321FC82" w14:textId="77777777" w:rsidR="003358C7" w:rsidRDefault="00000000">
      <w:pPr>
        <w:spacing w:before="160" w:after="40"/>
      </w:pPr>
      <w:r>
        <w:rPr>
          <w:b/>
          <w:bCs/>
          <w:color w:val="004F6E"/>
          <w:sz w:val="21"/>
          <w:szCs w:val="21"/>
        </w:rPr>
        <w:t>Scope — the one topic this assistant covers, and nothing else</w:t>
      </w:r>
    </w:p>
    <w:p w14:paraId="29E0E5B6" w14:textId="77777777" w:rsidR="003358C7" w:rsidRDefault="00000000">
      <w:pPr>
        <w:spacing w:after="100"/>
      </w:pPr>
      <w:r>
        <w:rPr>
          <w:i/>
          <w:iCs/>
          <w:color w:val="595959"/>
          <w:sz w:val="19"/>
          <w:szCs w:val="19"/>
        </w:rPr>
        <w:t>Be specific. "Leave policy" is a scope. "HR questions" is not.</w:t>
      </w:r>
    </w:p>
    <w:p w14:paraId="33D952D5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334B7572" w14:textId="77777777" w:rsidR="003358C7" w:rsidRDefault="00000000">
      <w:pPr>
        <w:spacing w:before="160" w:after="40"/>
      </w:pPr>
      <w:r>
        <w:rPr>
          <w:b/>
          <w:bCs/>
          <w:color w:val="004F6E"/>
          <w:sz w:val="21"/>
          <w:szCs w:val="21"/>
        </w:rPr>
        <w:t>Core goals — what should this assistant always do?</w:t>
      </w:r>
    </w:p>
    <w:p w14:paraId="70E55580" w14:textId="77777777" w:rsidR="003358C7" w:rsidRDefault="00000000">
      <w:pPr>
        <w:spacing w:after="100"/>
      </w:pPr>
      <w:r>
        <w:rPr>
          <w:i/>
          <w:iCs/>
          <w:color w:val="595959"/>
          <w:sz w:val="19"/>
          <w:szCs w:val="19"/>
        </w:rPr>
        <w:t>Examples from real assistants: answer only from approved content; protect employee privacy; ask a clarifying question when something is unclear; end each conversation on a positive note. Pick the ones that matter for your topic and add your own.</w:t>
      </w:r>
    </w:p>
    <w:p w14:paraId="290E0D75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1B270205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42853C5A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0C692DED" w14:textId="77777777" w:rsidR="003358C7" w:rsidRDefault="00000000">
      <w:pPr>
        <w:pStyle w:val="Heading2"/>
      </w:pPr>
      <w:r>
        <w:t>2. Persona</w:t>
      </w:r>
    </w:p>
    <w:p w14:paraId="3A139FC9" w14:textId="77777777" w:rsidR="003358C7" w:rsidRDefault="00000000">
      <w:pPr>
        <w:spacing w:before="160" w:after="40"/>
      </w:pPr>
      <w:r>
        <w:rPr>
          <w:b/>
          <w:bCs/>
          <w:color w:val="004F6E"/>
          <w:sz w:val="21"/>
          <w:szCs w:val="21"/>
        </w:rPr>
        <w:t>Name and voice</w:t>
      </w:r>
    </w:p>
    <w:p w14:paraId="1DE5AED3" w14:textId="77777777" w:rsidR="003358C7" w:rsidRDefault="00000000">
      <w:pPr>
        <w:spacing w:after="100"/>
      </w:pPr>
      <w:r>
        <w:rPr>
          <w:i/>
          <w:iCs/>
          <w:color w:val="595959"/>
          <w:sz w:val="19"/>
          <w:szCs w:val="19"/>
        </w:rPr>
        <w:t>Does it have a name? Does it speak as if it works at your district?</w:t>
      </w:r>
    </w:p>
    <w:p w14:paraId="0F708F1A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6C2E7FA1" w14:textId="77777777" w:rsidR="003358C7" w:rsidRDefault="00000000">
      <w:pPr>
        <w:spacing w:before="160" w:after="40"/>
      </w:pPr>
      <w:r>
        <w:rPr>
          <w:b/>
          <w:bCs/>
          <w:color w:val="004F6E"/>
          <w:sz w:val="21"/>
          <w:szCs w:val="21"/>
        </w:rPr>
        <w:t>Reading level and tone</w:t>
      </w:r>
    </w:p>
    <w:p w14:paraId="4EE3439D" w14:textId="77777777" w:rsidR="003358C7" w:rsidRDefault="00000000">
      <w:pPr>
        <w:spacing w:after="100"/>
      </w:pPr>
      <w:r>
        <w:rPr>
          <w:i/>
          <w:iCs/>
          <w:color w:val="595959"/>
          <w:sz w:val="19"/>
          <w:szCs w:val="19"/>
        </w:rPr>
        <w:t>Real examples: "plain language, about a 4th-grade reading level," "warm, supportive, and professional."</w:t>
      </w:r>
    </w:p>
    <w:p w14:paraId="7FA5CF40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170CB5B3" w14:textId="77777777" w:rsidR="003358C7" w:rsidRDefault="00000000">
      <w:pPr>
        <w:spacing w:before="160" w:after="40"/>
      </w:pPr>
      <w:r>
        <w:rPr>
          <w:b/>
          <w:bCs/>
          <w:color w:val="004F6E"/>
          <w:sz w:val="21"/>
          <w:szCs w:val="21"/>
        </w:rPr>
        <w:t>Opening acknowledgment — 2 to 3 lines it can open with</w:t>
      </w:r>
    </w:p>
    <w:p w14:paraId="5DA359C9" w14:textId="77777777" w:rsidR="003358C7" w:rsidRDefault="00000000">
      <w:pPr>
        <w:spacing w:after="100"/>
      </w:pPr>
      <w:r>
        <w:rPr>
          <w:i/>
          <w:iCs/>
          <w:color w:val="595959"/>
          <w:sz w:val="19"/>
          <w:szCs w:val="19"/>
        </w:rPr>
        <w:t>Example shape: "I’m happy to help you with that!" / "Good question, let’s take a look."</w:t>
      </w:r>
    </w:p>
    <w:p w14:paraId="5EB851FA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602DDB7B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5A49DA98" w14:textId="77777777" w:rsidR="003358C7" w:rsidRDefault="00000000">
      <w:pPr>
        <w:spacing w:before="160" w:after="40"/>
      </w:pPr>
      <w:r>
        <w:rPr>
          <w:b/>
          <w:bCs/>
          <w:color w:val="004F6E"/>
          <w:sz w:val="21"/>
          <w:szCs w:val="21"/>
        </w:rPr>
        <w:t>Response length rule</w:t>
      </w:r>
    </w:p>
    <w:p w14:paraId="5E53DC0C" w14:textId="77777777" w:rsidR="003358C7" w:rsidRDefault="00000000">
      <w:pPr>
        <w:spacing w:after="100"/>
      </w:pPr>
      <w:r>
        <w:rPr>
          <w:i/>
          <w:iCs/>
          <w:color w:val="595959"/>
          <w:sz w:val="19"/>
          <w:szCs w:val="19"/>
        </w:rPr>
        <w:t>Example: keep the first answer brief (150 words or less); offer more detail if asked.</w:t>
      </w:r>
    </w:p>
    <w:p w14:paraId="522DA89A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3CA9F988" w14:textId="77777777" w:rsidR="003358C7" w:rsidRDefault="00000000">
      <w:pPr>
        <w:spacing w:before="160" w:after="40"/>
      </w:pPr>
      <w:r>
        <w:rPr>
          <w:b/>
          <w:bCs/>
          <w:color w:val="004F6E"/>
          <w:sz w:val="21"/>
          <w:szCs w:val="21"/>
        </w:rPr>
        <w:t>What it should never mention</w:t>
      </w:r>
    </w:p>
    <w:p w14:paraId="5FD6AB39" w14:textId="69F2631E" w:rsidR="003358C7" w:rsidRDefault="00175C9C">
      <w:pPr>
        <w:spacing w:after="100"/>
      </w:pPr>
      <w:r>
        <w:rPr>
          <w:i/>
          <w:iCs/>
          <w:color w:val="595959"/>
          <w:sz w:val="19"/>
          <w:szCs w:val="19"/>
        </w:rPr>
        <w:t xml:space="preserve">To preserve conversational tone, many </w:t>
      </w:r>
      <w:r w:rsidR="00000000">
        <w:rPr>
          <w:i/>
          <w:iCs/>
          <w:color w:val="595959"/>
          <w:sz w:val="19"/>
          <w:szCs w:val="19"/>
        </w:rPr>
        <w:t>assistants are told not to reference training data, source documents, or how they</w:t>
      </w:r>
      <w:r>
        <w:rPr>
          <w:i/>
          <w:iCs/>
          <w:color w:val="595959"/>
          <w:sz w:val="19"/>
          <w:szCs w:val="19"/>
        </w:rPr>
        <w:t>’</w:t>
      </w:r>
      <w:r w:rsidR="00000000">
        <w:rPr>
          <w:i/>
          <w:iCs/>
          <w:color w:val="595959"/>
          <w:sz w:val="19"/>
          <w:szCs w:val="19"/>
        </w:rPr>
        <w:t>re built.</w:t>
      </w:r>
    </w:p>
    <w:p w14:paraId="49739B39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7316BAA9" w14:textId="77777777" w:rsidR="003358C7" w:rsidRDefault="003358C7">
      <w:pPr>
        <w:pageBreakBefore/>
      </w:pPr>
    </w:p>
    <w:p w14:paraId="4A03E73F" w14:textId="77777777" w:rsidR="003358C7" w:rsidRDefault="00000000">
      <w:pPr>
        <w:pStyle w:val="Heading2"/>
      </w:pPr>
      <w:r>
        <w:t>3. Source Rule</w:t>
      </w:r>
    </w:p>
    <w:p w14:paraId="12CB2D7D" w14:textId="77777777" w:rsidR="003358C7" w:rsidRDefault="00000000">
      <w:pPr>
        <w:shd w:val="clear" w:color="auto" w:fill="F2F2F2"/>
        <w:spacing w:after="100"/>
      </w:pPr>
      <w:r>
        <w:rPr>
          <w:color w:val="444444"/>
          <w:sz w:val="19"/>
          <w:szCs w:val="19"/>
        </w:rPr>
        <w:t xml:space="preserve">  Only answer using the approved content you provide. Never use outside knowledge, general knowledge, or guesses.</w:t>
      </w:r>
    </w:p>
    <w:p w14:paraId="179CC079" w14:textId="77777777" w:rsidR="003358C7" w:rsidRDefault="00000000">
      <w:pPr>
        <w:spacing w:before="160" w:after="40"/>
      </w:pPr>
      <w:r>
        <w:rPr>
          <w:b/>
          <w:bCs/>
          <w:color w:val="004F6E"/>
          <w:sz w:val="21"/>
          <w:szCs w:val="21"/>
        </w:rPr>
        <w:t>The approved content for this assistant is:</w:t>
      </w:r>
    </w:p>
    <w:p w14:paraId="73908DF0" w14:textId="77777777" w:rsidR="003358C7" w:rsidRDefault="00000000">
      <w:pPr>
        <w:spacing w:after="100"/>
      </w:pPr>
      <w:r>
        <w:rPr>
          <w:i/>
          <w:iCs/>
          <w:color w:val="595959"/>
          <w:sz w:val="19"/>
          <w:szCs w:val="19"/>
        </w:rPr>
        <w:t>List the specific document(s) — e.g., "the Clear River Leave and Absences policy" — not just the general topic.</w:t>
      </w:r>
    </w:p>
    <w:p w14:paraId="0BA221EF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65FC771C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21724A3C" w14:textId="2DA61300" w:rsidR="003358C7" w:rsidRDefault="00175C9C">
      <w:pPr>
        <w:spacing w:before="160" w:after="40"/>
      </w:pPr>
      <w:r>
        <w:rPr>
          <w:b/>
          <w:bCs/>
          <w:color w:val="004F6E"/>
          <w:sz w:val="21"/>
          <w:szCs w:val="21"/>
        </w:rPr>
        <w:t>The hallucination problem - w</w:t>
      </w:r>
      <w:r w:rsidR="00000000">
        <w:rPr>
          <w:b/>
          <w:bCs/>
          <w:color w:val="004F6E"/>
          <w:sz w:val="21"/>
          <w:szCs w:val="21"/>
        </w:rPr>
        <w:t>hat should it never invent?</w:t>
      </w:r>
    </w:p>
    <w:p w14:paraId="3896AA34" w14:textId="2110B7F7" w:rsidR="003358C7" w:rsidRDefault="00175C9C">
      <w:pPr>
        <w:spacing w:after="100"/>
      </w:pPr>
      <w:r>
        <w:rPr>
          <w:i/>
          <w:iCs/>
          <w:color w:val="595959"/>
          <w:sz w:val="19"/>
          <w:szCs w:val="19"/>
        </w:rPr>
        <w:t>Instructions</w:t>
      </w:r>
      <w:r w:rsidR="00000000">
        <w:rPr>
          <w:i/>
          <w:iCs/>
          <w:color w:val="595959"/>
          <w:sz w:val="19"/>
          <w:szCs w:val="19"/>
        </w:rPr>
        <w:t xml:space="preserve"> name this explicitly</w:t>
      </w:r>
      <w:r>
        <w:rPr>
          <w:i/>
          <w:iCs/>
          <w:color w:val="595959"/>
          <w:sz w:val="19"/>
          <w:szCs w:val="19"/>
        </w:rPr>
        <w:t xml:space="preserve"> to emphasize limits</w:t>
      </w:r>
      <w:r w:rsidR="00000000">
        <w:rPr>
          <w:i/>
          <w:iCs/>
          <w:color w:val="595959"/>
          <w:sz w:val="19"/>
          <w:szCs w:val="19"/>
        </w:rPr>
        <w:t>: never invent contacts, deadlines, forms, rates, codes, or policy language that isn’t in the approved content.</w:t>
      </w:r>
    </w:p>
    <w:p w14:paraId="070C4E88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7E2D6F60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3016AA04" w14:textId="77777777" w:rsidR="003358C7" w:rsidRDefault="00000000">
      <w:pPr>
        <w:pStyle w:val="Heading2"/>
      </w:pPr>
      <w:r>
        <w:t>4. Escalation and Routing</w:t>
      </w:r>
    </w:p>
    <w:p w14:paraId="708523E8" w14:textId="77777777" w:rsidR="003358C7" w:rsidRDefault="00000000">
      <w:pPr>
        <w:spacing w:before="160" w:after="40"/>
      </w:pPr>
      <w:r>
        <w:rPr>
          <w:b/>
          <w:bCs/>
          <w:color w:val="004F6E"/>
          <w:sz w:val="21"/>
          <w:szCs w:val="21"/>
        </w:rPr>
        <w:t>What can this assistant answer directly?</w:t>
      </w:r>
    </w:p>
    <w:p w14:paraId="3EBF6DEC" w14:textId="2A3F93F0" w:rsidR="003358C7" w:rsidRDefault="00000000">
      <w:pPr>
        <w:spacing w:after="100"/>
      </w:pPr>
      <w:r>
        <w:rPr>
          <w:i/>
          <w:iCs/>
          <w:color w:val="595959"/>
          <w:sz w:val="19"/>
          <w:szCs w:val="19"/>
        </w:rPr>
        <w:t xml:space="preserve">List 4 to 5 </w:t>
      </w:r>
      <w:r w:rsidR="00175C9C">
        <w:rPr>
          <w:i/>
          <w:iCs/>
          <w:color w:val="595959"/>
          <w:sz w:val="19"/>
          <w:szCs w:val="19"/>
        </w:rPr>
        <w:t>topic areas</w:t>
      </w:r>
      <w:r>
        <w:rPr>
          <w:i/>
          <w:iCs/>
          <w:color w:val="595959"/>
          <w:sz w:val="19"/>
          <w:szCs w:val="19"/>
        </w:rPr>
        <w:t xml:space="preserve"> that are safe to answer outright — general, supported by your content, no individual record involved.</w:t>
      </w:r>
    </w:p>
    <w:p w14:paraId="50E8CD47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0E17EEC5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472FA41A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09B75D8E" w14:textId="77777777" w:rsidR="003358C7" w:rsidRDefault="00000000">
      <w:pPr>
        <w:shd w:val="clear" w:color="auto" w:fill="F2F2F2"/>
        <w:spacing w:after="100"/>
      </w:pPr>
      <w:r>
        <w:rPr>
          <w:color w:val="444444"/>
          <w:sz w:val="19"/>
          <w:szCs w:val="19"/>
        </w:rPr>
        <w:t xml:space="preserve">  Never access, check, or claim to view an individual employee’s personal records or account information.</w:t>
      </w:r>
    </w:p>
    <w:p w14:paraId="5A8CB779" w14:textId="77777777" w:rsidR="003358C7" w:rsidRDefault="00000000">
      <w:pPr>
        <w:spacing w:before="160" w:after="40"/>
      </w:pPr>
      <w:r>
        <w:rPr>
          <w:b/>
          <w:bCs/>
          <w:color w:val="004F6E"/>
          <w:sz w:val="21"/>
          <w:szCs w:val="21"/>
        </w:rPr>
        <w:t>Your refusal line for a personal-record request</w:t>
      </w:r>
    </w:p>
    <w:p w14:paraId="63678136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14D4CFCF" w14:textId="77777777" w:rsidR="003358C7" w:rsidRDefault="00000000">
      <w:pPr>
        <w:spacing w:before="160" w:after="40"/>
      </w:pPr>
      <w:r>
        <w:rPr>
          <w:b/>
          <w:bCs/>
          <w:color w:val="004F6E"/>
          <w:sz w:val="21"/>
          <w:szCs w:val="21"/>
        </w:rPr>
        <w:t>What should it never calculate or predict for one specific person?</w:t>
      </w:r>
    </w:p>
    <w:p w14:paraId="4334EDD9" w14:textId="77777777" w:rsidR="003358C7" w:rsidRDefault="00000000">
      <w:pPr>
        <w:spacing w:after="100"/>
      </w:pPr>
      <w:r>
        <w:rPr>
          <w:i/>
          <w:iCs/>
          <w:color w:val="595959"/>
          <w:sz w:val="19"/>
          <w:szCs w:val="19"/>
        </w:rPr>
        <w:t>Payroll example: gross/net pay, step placement, or why one paycheck differed from another. Adapt this to your topic.</w:t>
      </w:r>
    </w:p>
    <w:p w14:paraId="609579C4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616D4F89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399113DC" w14:textId="77777777" w:rsidR="003358C7" w:rsidRDefault="00000000">
      <w:pPr>
        <w:spacing w:before="160" w:after="40"/>
      </w:pPr>
      <w:r>
        <w:rPr>
          <w:b/>
          <w:bCs/>
          <w:color w:val="004F6E"/>
          <w:sz w:val="21"/>
          <w:szCs w:val="21"/>
        </w:rPr>
        <w:t>Handoff table — where does each situation go?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160"/>
      </w:tblGrid>
      <w:tr w:rsidR="003358C7" w14:paraId="79B5609E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DB3B7A4" w14:textId="77777777" w:rsidR="003358C7" w:rsidRDefault="00000000">
            <w:r>
              <w:rPr>
                <w:b/>
                <w:bCs/>
                <w:sz w:val="19"/>
                <w:szCs w:val="19"/>
              </w:rPr>
              <w:t>Trigger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298C474" w14:textId="77777777" w:rsidR="003358C7" w:rsidRDefault="00000000">
            <w:r>
              <w:rPr>
                <w:b/>
                <w:bCs/>
                <w:sz w:val="19"/>
                <w:szCs w:val="19"/>
              </w:rPr>
              <w:t>Who to contact (name / phone / email)</w:t>
            </w:r>
          </w:p>
        </w:tc>
      </w:tr>
      <w:tr w:rsidR="003358C7" w14:paraId="61FC29CE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E487C5E" w14:textId="77777777" w:rsidR="003358C7" w:rsidRDefault="00000000">
            <w:r>
              <w:rPr>
                <w:sz w:val="19"/>
                <w:szCs w:val="19"/>
              </w:rPr>
              <w:t>Off-topic question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DD7FC6F" w14:textId="77777777" w:rsidR="003358C7" w:rsidRDefault="00000000">
            <w:r>
              <w:t xml:space="preserve"> </w:t>
            </w:r>
          </w:p>
        </w:tc>
      </w:tr>
      <w:tr w:rsidR="003358C7" w14:paraId="21F0DF77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1DCAADD" w14:textId="77777777" w:rsidR="003358C7" w:rsidRDefault="00000000">
            <w:r>
              <w:rPr>
                <w:sz w:val="19"/>
                <w:szCs w:val="19"/>
              </w:rPr>
              <w:t>Personal record request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993B0C3" w14:textId="77777777" w:rsidR="003358C7" w:rsidRDefault="00000000">
            <w:r>
              <w:t xml:space="preserve"> </w:t>
            </w:r>
          </w:p>
        </w:tc>
      </w:tr>
      <w:tr w:rsidR="003358C7" w14:paraId="1948F9B3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0B99BAB" w14:textId="77777777" w:rsidR="003358C7" w:rsidRDefault="00000000">
            <w:r>
              <w:rPr>
                <w:sz w:val="19"/>
                <w:szCs w:val="19"/>
              </w:rPr>
              <w:t>Low-confidence / not in content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B95B4E1" w14:textId="77777777" w:rsidR="003358C7" w:rsidRDefault="00000000">
            <w:r>
              <w:t xml:space="preserve"> </w:t>
            </w:r>
          </w:p>
        </w:tc>
      </w:tr>
      <w:tr w:rsidR="003358C7" w14:paraId="62D6E2A4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FA01954" w14:textId="77777777" w:rsidR="003358C7" w:rsidRDefault="00000000">
            <w:r>
              <w:rPr>
                <w:sz w:val="19"/>
                <w:szCs w:val="19"/>
              </w:rPr>
              <w:t>Sensitive or specialized sub-topic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BF86210" w14:textId="77777777" w:rsidR="003358C7" w:rsidRDefault="00000000">
            <w:r>
              <w:t xml:space="preserve"> </w:t>
            </w:r>
          </w:p>
        </w:tc>
      </w:tr>
    </w:tbl>
    <w:p w14:paraId="68C19DD2" w14:textId="77777777" w:rsidR="003358C7" w:rsidRDefault="003358C7">
      <w:pPr>
        <w:pageBreakBefore/>
      </w:pPr>
    </w:p>
    <w:p w14:paraId="66D05EDF" w14:textId="77777777" w:rsidR="003358C7" w:rsidRDefault="00000000">
      <w:pPr>
        <w:pStyle w:val="Heading2"/>
      </w:pPr>
      <w:r>
        <w:t>5. Fallback Response</w:t>
      </w:r>
    </w:p>
    <w:p w14:paraId="62D48C31" w14:textId="77777777" w:rsidR="003358C7" w:rsidRDefault="00000000">
      <w:pPr>
        <w:spacing w:after="100"/>
      </w:pPr>
      <w:r>
        <w:rPr>
          <w:i/>
          <w:iCs/>
          <w:color w:val="595959"/>
          <w:sz w:val="19"/>
          <w:szCs w:val="19"/>
        </w:rPr>
        <w:t>The line it uses when a question can’t be answered from approved content, is unclear, or needs a person. Real assistants often have more than one flavor — a default, plus one for each specialized handoff area.</w:t>
      </w:r>
    </w:p>
    <w:p w14:paraId="0F132552" w14:textId="77777777" w:rsidR="003358C7" w:rsidRDefault="00000000">
      <w:pPr>
        <w:spacing w:before="160" w:after="40"/>
      </w:pPr>
      <w:r>
        <w:rPr>
          <w:b/>
          <w:bCs/>
          <w:color w:val="004F6E"/>
          <w:sz w:val="21"/>
          <w:szCs w:val="21"/>
        </w:rPr>
        <w:t>Default fallback</w:t>
      </w:r>
    </w:p>
    <w:p w14:paraId="6C8B7561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3D230C17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04939FF5" w14:textId="77777777" w:rsidR="003358C7" w:rsidRDefault="00000000">
      <w:pPr>
        <w:spacing w:before="160" w:after="40"/>
      </w:pPr>
      <w:r>
        <w:rPr>
          <w:b/>
          <w:bCs/>
          <w:color w:val="004F6E"/>
          <w:sz w:val="21"/>
          <w:szCs w:val="21"/>
        </w:rPr>
        <w:t>Topic-specific fallback (optional)</w:t>
      </w:r>
    </w:p>
    <w:p w14:paraId="2E6C2610" w14:textId="77777777" w:rsidR="003358C7" w:rsidRDefault="00000000">
      <w:pPr>
        <w:spacing w:after="100"/>
      </w:pPr>
      <w:r>
        <w:rPr>
          <w:i/>
          <w:iCs/>
          <w:color w:val="595959"/>
          <w:sz w:val="19"/>
          <w:szCs w:val="19"/>
        </w:rPr>
        <w:t>E.g., a payroll assistant might have a separate line for tax questions; a certification assistant might have one for salary-placement questions.</w:t>
      </w:r>
    </w:p>
    <w:p w14:paraId="05FD062A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56E21E45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3BB032EE" w14:textId="77777777" w:rsidR="003358C7" w:rsidRDefault="00000000">
      <w:pPr>
        <w:pStyle w:val="Heading2"/>
      </w:pPr>
      <w:r>
        <w:t>6. Conversation Mechanics</w:t>
      </w:r>
    </w:p>
    <w:p w14:paraId="719EA395" w14:textId="77777777" w:rsidR="003358C7" w:rsidRDefault="00000000">
      <w:pPr>
        <w:spacing w:before="160" w:after="40"/>
      </w:pPr>
      <w:r>
        <w:rPr>
          <w:b/>
          <w:bCs/>
          <w:color w:val="004F6E"/>
          <w:sz w:val="21"/>
          <w:szCs w:val="21"/>
        </w:rPr>
        <w:t>Clarifying question examples</w:t>
      </w:r>
    </w:p>
    <w:p w14:paraId="6DF68423" w14:textId="77777777" w:rsidR="003358C7" w:rsidRDefault="00000000">
      <w:pPr>
        <w:spacing w:after="100"/>
      </w:pPr>
      <w:r>
        <w:rPr>
          <w:i/>
          <w:iCs/>
          <w:color w:val="595959"/>
          <w:sz w:val="19"/>
          <w:szCs w:val="19"/>
        </w:rPr>
        <w:t>Pattern: "If the user asks about ___, ask whether they mean ___ or ___."</w:t>
      </w:r>
    </w:p>
    <w:p w14:paraId="25381A0B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744BDE0D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1D92928F" w14:textId="77777777" w:rsidR="003358C7" w:rsidRDefault="00000000">
      <w:pPr>
        <w:spacing w:before="160" w:after="40"/>
      </w:pPr>
      <w:r>
        <w:rPr>
          <w:b/>
          <w:bCs/>
          <w:color w:val="004F6E"/>
          <w:sz w:val="21"/>
          <w:szCs w:val="21"/>
        </w:rPr>
        <w:t>Redirect / refocus line</w:t>
      </w:r>
    </w:p>
    <w:p w14:paraId="1B0D38EA" w14:textId="77777777" w:rsidR="003358C7" w:rsidRDefault="00000000">
      <w:pPr>
        <w:spacing w:after="100"/>
      </w:pPr>
      <w:r>
        <w:rPr>
          <w:i/>
          <w:iCs/>
          <w:color w:val="595959"/>
          <w:sz w:val="19"/>
          <w:szCs w:val="19"/>
        </w:rPr>
        <w:t>What it says when the conversation drifts off-topic, to bring the employee back to what it can help with.</w:t>
      </w:r>
    </w:p>
    <w:p w14:paraId="654D2EFD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5D1092C6" w14:textId="77777777" w:rsidR="003358C7" w:rsidRDefault="00000000">
      <w:pPr>
        <w:spacing w:before="160" w:after="40"/>
      </w:pPr>
      <w:r>
        <w:rPr>
          <w:b/>
          <w:bCs/>
          <w:color w:val="004F6E"/>
          <w:sz w:val="21"/>
          <w:szCs w:val="21"/>
        </w:rPr>
        <w:t>Wrap-up message</w:t>
      </w:r>
    </w:p>
    <w:p w14:paraId="5FDBA13A" w14:textId="75EAF895" w:rsidR="003358C7" w:rsidRDefault="00175C9C">
      <w:pPr>
        <w:spacing w:after="100"/>
      </w:pPr>
      <w:r>
        <w:rPr>
          <w:i/>
          <w:iCs/>
          <w:color w:val="595959"/>
          <w:sz w:val="19"/>
          <w:szCs w:val="19"/>
        </w:rPr>
        <w:t>Good</w:t>
      </w:r>
      <w:r w:rsidR="00000000">
        <w:rPr>
          <w:i/>
          <w:iCs/>
          <w:color w:val="595959"/>
          <w:sz w:val="19"/>
          <w:szCs w:val="19"/>
        </w:rPr>
        <w:t xml:space="preserve"> assistants close every conversation the same way, often with a reminder to verify information before acting on it.</w:t>
      </w:r>
    </w:p>
    <w:p w14:paraId="07C50C1C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2D6E4013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799CF1B0" w14:textId="77777777" w:rsidR="003358C7" w:rsidRDefault="00000000">
      <w:pPr>
        <w:pStyle w:val="Heading2"/>
      </w:pPr>
      <w:r>
        <w:t>7. Bot Settings</w:t>
      </w:r>
    </w:p>
    <w:p w14:paraId="7B2D9F95" w14:textId="77777777" w:rsidR="003358C7" w:rsidRDefault="00000000">
      <w:pPr>
        <w:spacing w:before="160" w:after="40"/>
      </w:pPr>
      <w:r>
        <w:rPr>
          <w:b/>
          <w:bCs/>
          <w:color w:val="004F6E"/>
          <w:sz w:val="21"/>
          <w:szCs w:val="21"/>
        </w:rPr>
        <w:t>Intro message — the first thing an employee sees</w:t>
      </w:r>
    </w:p>
    <w:p w14:paraId="2050067A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391526CD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7B7E4DF3" w14:textId="77777777" w:rsidR="003358C7" w:rsidRDefault="00000000">
      <w:pPr>
        <w:spacing w:before="160" w:after="40"/>
      </w:pPr>
      <w:r>
        <w:rPr>
          <w:b/>
          <w:bCs/>
          <w:color w:val="004F6E"/>
          <w:sz w:val="21"/>
          <w:szCs w:val="21"/>
        </w:rPr>
        <w:t>Footer / disclaimer text</w:t>
      </w:r>
    </w:p>
    <w:p w14:paraId="37816E6C" w14:textId="77777777" w:rsidR="003358C7" w:rsidRDefault="00000000">
      <w:pPr>
        <w:spacing w:after="100"/>
      </w:pPr>
      <w:r>
        <w:rPr>
          <w:i/>
          <w:iCs/>
          <w:color w:val="595959"/>
          <w:sz w:val="19"/>
          <w:szCs w:val="19"/>
        </w:rPr>
        <w:t>Example: a reminder not to enter Social Security numbers, passwords, or other sensitive information in the chat.</w:t>
      </w:r>
    </w:p>
    <w:p w14:paraId="7B75E48C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74CDBB5A" w14:textId="77777777" w:rsidR="003358C7" w:rsidRDefault="00000000">
      <w:pPr>
        <w:pBdr>
          <w:bottom w:val="single" w:sz="4" w:space="1" w:color="BFBFBF"/>
        </w:pBdr>
        <w:spacing w:after="120"/>
      </w:pPr>
      <w:r>
        <w:t xml:space="preserve"> </w:t>
      </w:r>
    </w:p>
    <w:p w14:paraId="13996C80" w14:textId="77777777" w:rsidR="003358C7" w:rsidRDefault="003358C7">
      <w:pPr>
        <w:pageBreakBefore/>
      </w:pPr>
    </w:p>
    <w:p w14:paraId="7FE42743" w14:textId="77777777" w:rsidR="003358C7" w:rsidRDefault="00000000">
      <w:pPr>
        <w:pStyle w:val="Heading2"/>
      </w:pPr>
      <w:r>
        <w:t>Assembling It</w:t>
      </w:r>
    </w:p>
    <w:p w14:paraId="6EC34174" w14:textId="77777777" w:rsidR="003358C7" w:rsidRDefault="00000000">
      <w:pPr>
        <w:spacing w:after="160"/>
      </w:pPr>
      <w:r>
        <w:t>Once the sections above are filled in, most platforms want them combined into a single instructions field. A simple starting shape: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3358C7" w14:paraId="4306E38C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7E9"/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53B2F2C1" w14:textId="77777777" w:rsidR="003358C7" w:rsidRDefault="00000000">
            <w:pPr>
              <w:spacing w:after="100"/>
            </w:pPr>
            <w:r>
              <w:rPr>
                <w:b/>
                <w:bCs/>
              </w:rPr>
              <w:t>#Primary Function</w:t>
            </w:r>
          </w:p>
          <w:p w14:paraId="1317BA72" w14:textId="77777777" w:rsidR="003358C7" w:rsidRDefault="00000000">
            <w:pPr>
              <w:spacing w:after="100"/>
            </w:pPr>
            <w:r>
              <w:rPr>
                <w:i/>
                <w:iCs/>
                <w:color w:val="595959"/>
              </w:rPr>
              <w:t>[Name, scope, and goals from Section 1]</w:t>
            </w:r>
          </w:p>
          <w:p w14:paraId="10586336" w14:textId="77777777" w:rsidR="003358C7" w:rsidRDefault="00000000">
            <w:pPr>
              <w:spacing w:after="100"/>
            </w:pPr>
            <w:r>
              <w:rPr>
                <w:b/>
                <w:bCs/>
              </w:rPr>
              <w:t>#Persona</w:t>
            </w:r>
          </w:p>
          <w:p w14:paraId="29E2C025" w14:textId="77777777" w:rsidR="003358C7" w:rsidRDefault="00000000">
            <w:pPr>
              <w:spacing w:after="100"/>
            </w:pPr>
            <w:r>
              <w:rPr>
                <w:i/>
                <w:iCs/>
                <w:color w:val="595959"/>
              </w:rPr>
              <w:t>[Voice, tone, and opening lines from Section 2]</w:t>
            </w:r>
          </w:p>
          <w:p w14:paraId="7AF227C0" w14:textId="77777777" w:rsidR="003358C7" w:rsidRDefault="00000000">
            <w:pPr>
              <w:spacing w:after="100"/>
            </w:pPr>
            <w:r>
              <w:rPr>
                <w:b/>
                <w:bCs/>
              </w:rPr>
              <w:t>#Core Constraints</w:t>
            </w:r>
          </w:p>
          <w:p w14:paraId="36EBE890" w14:textId="77777777" w:rsidR="003358C7" w:rsidRDefault="00000000">
            <w:pPr>
              <w:spacing w:after="100"/>
            </w:pPr>
            <w:r>
              <w:rPr>
                <w:i/>
                <w:iCs/>
                <w:color w:val="595959"/>
              </w:rPr>
              <w:t>[Source rule, escalation, invention limits, and fallback from Sections 3–5]</w:t>
            </w:r>
          </w:p>
          <w:p w14:paraId="1345A0E0" w14:textId="77777777" w:rsidR="003358C7" w:rsidRDefault="00000000">
            <w:pPr>
              <w:spacing w:after="100"/>
            </w:pPr>
            <w:r>
              <w:rPr>
                <w:b/>
                <w:bCs/>
              </w:rPr>
              <w:t>#Redirect and Refocus / #Wrap-up Message</w:t>
            </w:r>
          </w:p>
          <w:p w14:paraId="71396C91" w14:textId="77777777" w:rsidR="003358C7" w:rsidRDefault="00000000">
            <w:r>
              <w:rPr>
                <w:i/>
                <w:iCs/>
                <w:color w:val="595959"/>
              </w:rPr>
              <w:t>[From Section 6]</w:t>
            </w:r>
          </w:p>
        </w:tc>
      </w:tr>
    </w:tbl>
    <w:p w14:paraId="7A5448D9" w14:textId="5251CB8E" w:rsidR="003358C7" w:rsidRDefault="00175C9C">
      <w:pPr>
        <w:spacing w:before="200"/>
      </w:pPr>
      <w:r>
        <w:rPr>
          <w:i/>
          <w:iCs/>
        </w:rPr>
        <w:t>You will b</w:t>
      </w:r>
      <w:r w:rsidR="00000000">
        <w:rPr>
          <w:i/>
          <w:iCs/>
        </w:rPr>
        <w:t xml:space="preserve">reak-test </w:t>
      </w:r>
      <w:r>
        <w:rPr>
          <w:i/>
          <w:iCs/>
        </w:rPr>
        <w:t>the instructions</w:t>
      </w:r>
      <w:r w:rsidR="00000000">
        <w:rPr>
          <w:i/>
          <w:iCs/>
        </w:rPr>
        <w:t xml:space="preserve"> once </w:t>
      </w:r>
      <w:r>
        <w:rPr>
          <w:i/>
          <w:iCs/>
        </w:rPr>
        <w:t>the assistant is</w:t>
      </w:r>
      <w:r w:rsidR="00000000">
        <w:rPr>
          <w:i/>
          <w:iCs/>
        </w:rPr>
        <w:t xml:space="preserve"> built: try a personal-record question, an off-topic question, and a real, messy question pulled from your own inbox.</w:t>
      </w:r>
    </w:p>
    <w:sectPr w:rsidR="003358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86E45" w14:textId="77777777" w:rsidR="00632580" w:rsidRDefault="00632580">
      <w:r>
        <w:separator/>
      </w:r>
    </w:p>
  </w:endnote>
  <w:endnote w:type="continuationSeparator" w:id="0">
    <w:p w14:paraId="4883A53F" w14:textId="77777777" w:rsidR="00632580" w:rsidRDefault="00632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51FA3" w14:textId="77777777" w:rsidR="00AD1623" w:rsidRDefault="00AD16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A0A06" w14:textId="652226C7" w:rsidR="003358C7" w:rsidRDefault="00000000">
    <w:pPr>
      <w:pBdr>
        <w:top w:val="single" w:sz="6" w:space="4" w:color="ABD150"/>
      </w:pBdr>
      <w:tabs>
        <w:tab w:val="right" w:pos="9026"/>
      </w:tabs>
    </w:pPr>
    <w:r>
      <w:rPr>
        <w:noProof/>
      </w:rPr>
      <w:drawing>
        <wp:inline distT="0" distB="0" distL="0" distR="0" wp14:anchorId="78AD0B25" wp14:editId="21917FDB">
          <wp:extent cx="190500" cy="190500"/>
          <wp:effectExtent l="0" t="0" r="0" b="0"/>
          <wp:docPr id="1" name="CCCG logo" descr="Clear Concepts Consulting Group logo" title="CCC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190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color w:val="004F6E"/>
        <w:sz w:val="16"/>
        <w:szCs w:val="16"/>
      </w:rPr>
      <w:t xml:space="preserve">  Clear Concepts Consulting Group  |  OSPA Workshop 2026</w:t>
    </w:r>
    <w:r>
      <w:rPr>
        <w:color w:val="595959"/>
        <w:sz w:val="16"/>
        <w:szCs w:val="16"/>
      </w:rPr>
      <w:tab/>
      <w:t>Instructions Draft</w:t>
    </w:r>
    <w:r w:rsidR="00AD1623">
      <w:rPr>
        <w:color w:val="595959"/>
        <w:sz w:val="16"/>
        <w:szCs w:val="16"/>
      </w:rPr>
      <w:t>ing</w:t>
    </w:r>
    <w:r>
      <w:rPr>
        <w:color w:val="595959"/>
        <w:sz w:val="16"/>
        <w:szCs w:val="16"/>
      </w:rPr>
      <w:t xml:space="preserve"> Template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AC255" w14:textId="77777777" w:rsidR="00AD1623" w:rsidRDefault="00AD16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73CA7" w14:textId="77777777" w:rsidR="00632580" w:rsidRDefault="00632580">
      <w:r>
        <w:separator/>
      </w:r>
    </w:p>
  </w:footnote>
  <w:footnote w:type="continuationSeparator" w:id="0">
    <w:p w14:paraId="7876464F" w14:textId="77777777" w:rsidR="00632580" w:rsidRDefault="00632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5AA57" w14:textId="77777777" w:rsidR="00AD1623" w:rsidRDefault="00AD16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3F0EB" w14:textId="77777777" w:rsidR="00AD1623" w:rsidRDefault="00AD162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B49EA" w14:textId="77777777" w:rsidR="00AD1623" w:rsidRDefault="00AD16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04963"/>
    <w:multiLevelType w:val="hybridMultilevel"/>
    <w:tmpl w:val="37EE2DAA"/>
    <w:lvl w:ilvl="0" w:tplc="5A9C8EE4">
      <w:start w:val="1"/>
      <w:numFmt w:val="bullet"/>
      <w:lvlText w:val="●"/>
      <w:lvlJc w:val="left"/>
      <w:pPr>
        <w:ind w:left="720" w:hanging="360"/>
      </w:pPr>
    </w:lvl>
    <w:lvl w:ilvl="1" w:tplc="4162A970">
      <w:start w:val="1"/>
      <w:numFmt w:val="bullet"/>
      <w:lvlText w:val="○"/>
      <w:lvlJc w:val="left"/>
      <w:pPr>
        <w:ind w:left="1440" w:hanging="360"/>
      </w:pPr>
    </w:lvl>
    <w:lvl w:ilvl="2" w:tplc="D75219C8">
      <w:start w:val="1"/>
      <w:numFmt w:val="bullet"/>
      <w:lvlText w:val="■"/>
      <w:lvlJc w:val="left"/>
      <w:pPr>
        <w:ind w:left="2160" w:hanging="360"/>
      </w:pPr>
    </w:lvl>
    <w:lvl w:ilvl="3" w:tplc="8FAC48E4">
      <w:start w:val="1"/>
      <w:numFmt w:val="bullet"/>
      <w:lvlText w:val="●"/>
      <w:lvlJc w:val="left"/>
      <w:pPr>
        <w:ind w:left="2880" w:hanging="360"/>
      </w:pPr>
    </w:lvl>
    <w:lvl w:ilvl="4" w:tplc="DDE08196">
      <w:start w:val="1"/>
      <w:numFmt w:val="bullet"/>
      <w:lvlText w:val="○"/>
      <w:lvlJc w:val="left"/>
      <w:pPr>
        <w:ind w:left="3600" w:hanging="360"/>
      </w:pPr>
    </w:lvl>
    <w:lvl w:ilvl="5" w:tplc="DFC63F7A">
      <w:start w:val="1"/>
      <w:numFmt w:val="bullet"/>
      <w:lvlText w:val="■"/>
      <w:lvlJc w:val="left"/>
      <w:pPr>
        <w:ind w:left="4320" w:hanging="360"/>
      </w:pPr>
    </w:lvl>
    <w:lvl w:ilvl="6" w:tplc="7B004A00">
      <w:start w:val="1"/>
      <w:numFmt w:val="bullet"/>
      <w:lvlText w:val="●"/>
      <w:lvlJc w:val="left"/>
      <w:pPr>
        <w:ind w:left="5040" w:hanging="360"/>
      </w:pPr>
    </w:lvl>
    <w:lvl w:ilvl="7" w:tplc="396E7AE6">
      <w:start w:val="1"/>
      <w:numFmt w:val="bullet"/>
      <w:lvlText w:val="●"/>
      <w:lvlJc w:val="left"/>
      <w:pPr>
        <w:ind w:left="5760" w:hanging="360"/>
      </w:pPr>
    </w:lvl>
    <w:lvl w:ilvl="8" w:tplc="3E9C317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1B16EC1"/>
    <w:multiLevelType w:val="hybridMultilevel"/>
    <w:tmpl w:val="77B24C88"/>
    <w:lvl w:ilvl="0" w:tplc="947E1EDC">
      <w:start w:val="1"/>
      <w:numFmt w:val="bullet"/>
      <w:lvlText w:val="•"/>
      <w:lvlJc w:val="left"/>
      <w:pPr>
        <w:ind w:left="450" w:hanging="260"/>
      </w:pPr>
    </w:lvl>
    <w:lvl w:ilvl="1" w:tplc="3878DEC6">
      <w:numFmt w:val="decimal"/>
      <w:lvlText w:val=""/>
      <w:lvlJc w:val="left"/>
    </w:lvl>
    <w:lvl w:ilvl="2" w:tplc="FF60B5E2">
      <w:numFmt w:val="decimal"/>
      <w:lvlText w:val=""/>
      <w:lvlJc w:val="left"/>
    </w:lvl>
    <w:lvl w:ilvl="3" w:tplc="1D640C9E">
      <w:numFmt w:val="decimal"/>
      <w:lvlText w:val=""/>
      <w:lvlJc w:val="left"/>
    </w:lvl>
    <w:lvl w:ilvl="4" w:tplc="6CBE1F0A">
      <w:numFmt w:val="decimal"/>
      <w:lvlText w:val=""/>
      <w:lvlJc w:val="left"/>
    </w:lvl>
    <w:lvl w:ilvl="5" w:tplc="421483AE">
      <w:numFmt w:val="decimal"/>
      <w:lvlText w:val=""/>
      <w:lvlJc w:val="left"/>
    </w:lvl>
    <w:lvl w:ilvl="6" w:tplc="0C349B0E">
      <w:numFmt w:val="decimal"/>
      <w:lvlText w:val=""/>
      <w:lvlJc w:val="left"/>
    </w:lvl>
    <w:lvl w:ilvl="7" w:tplc="DD780186">
      <w:numFmt w:val="decimal"/>
      <w:lvlText w:val=""/>
      <w:lvlJc w:val="left"/>
    </w:lvl>
    <w:lvl w:ilvl="8" w:tplc="A9244B68">
      <w:numFmt w:val="decimal"/>
      <w:lvlText w:val=""/>
      <w:lvlJc w:val="left"/>
    </w:lvl>
  </w:abstractNum>
  <w:abstractNum w:abstractNumId="2" w15:restartNumberingAfterBreak="0">
    <w:nsid w:val="46480228"/>
    <w:multiLevelType w:val="hybridMultilevel"/>
    <w:tmpl w:val="DA6C1B70"/>
    <w:lvl w:ilvl="0" w:tplc="1B5629D0">
      <w:start w:val="1"/>
      <w:numFmt w:val="decimal"/>
      <w:lvlText w:val="%1."/>
      <w:lvlJc w:val="left"/>
      <w:pPr>
        <w:ind w:left="450" w:hanging="260"/>
      </w:pPr>
    </w:lvl>
    <w:lvl w:ilvl="1" w:tplc="8C841966">
      <w:numFmt w:val="decimal"/>
      <w:lvlText w:val=""/>
      <w:lvlJc w:val="left"/>
    </w:lvl>
    <w:lvl w:ilvl="2" w:tplc="D2940AF8">
      <w:numFmt w:val="decimal"/>
      <w:lvlText w:val=""/>
      <w:lvlJc w:val="left"/>
    </w:lvl>
    <w:lvl w:ilvl="3" w:tplc="1A6E4AEA">
      <w:numFmt w:val="decimal"/>
      <w:lvlText w:val=""/>
      <w:lvlJc w:val="left"/>
    </w:lvl>
    <w:lvl w:ilvl="4" w:tplc="72185CFA">
      <w:numFmt w:val="decimal"/>
      <w:lvlText w:val=""/>
      <w:lvlJc w:val="left"/>
    </w:lvl>
    <w:lvl w:ilvl="5" w:tplc="4336C1E2">
      <w:numFmt w:val="decimal"/>
      <w:lvlText w:val=""/>
      <w:lvlJc w:val="left"/>
    </w:lvl>
    <w:lvl w:ilvl="6" w:tplc="75CA608C">
      <w:numFmt w:val="decimal"/>
      <w:lvlText w:val=""/>
      <w:lvlJc w:val="left"/>
    </w:lvl>
    <w:lvl w:ilvl="7" w:tplc="787225A2">
      <w:numFmt w:val="decimal"/>
      <w:lvlText w:val=""/>
      <w:lvlJc w:val="left"/>
    </w:lvl>
    <w:lvl w:ilvl="8" w:tplc="2E82AF3A">
      <w:numFmt w:val="decimal"/>
      <w:lvlText w:val=""/>
      <w:lvlJc w:val="left"/>
    </w:lvl>
  </w:abstractNum>
  <w:num w:numId="1" w16cid:durableId="1413923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8C7"/>
    <w:rsid w:val="00175C9C"/>
    <w:rsid w:val="002F6EB7"/>
    <w:rsid w:val="003358C7"/>
    <w:rsid w:val="00632580"/>
    <w:rsid w:val="00AD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8890A"/>
  <w15:docId w15:val="{56BC1E77-121F-4C5C-98D0-0AB87040C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222222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pBdr>
        <w:bottom w:val="single" w:sz="8" w:space="4" w:color="ABD150"/>
      </w:pBdr>
      <w:spacing w:before="120" w:after="160"/>
      <w:outlineLvl w:val="0"/>
    </w:pPr>
    <w:rPr>
      <w:rFonts w:ascii="Georgia" w:eastAsia="Georgia" w:hAnsi="Georgia" w:cs="Georgia"/>
      <w:b/>
      <w:bCs/>
      <w:color w:val="004F6E"/>
      <w:sz w:val="34"/>
      <w:szCs w:val="34"/>
    </w:rPr>
  </w:style>
  <w:style w:type="paragraph" w:styleId="Heading2">
    <w:name w:val="heading 2"/>
    <w:uiPriority w:val="9"/>
    <w:unhideWhenUsed/>
    <w:qFormat/>
    <w:pPr>
      <w:spacing w:before="220" w:after="120"/>
      <w:outlineLvl w:val="1"/>
    </w:pPr>
    <w:rPr>
      <w:rFonts w:ascii="Georgia" w:eastAsia="Georgia" w:hAnsi="Georgia" w:cs="Georgia"/>
      <w:b/>
      <w:bCs/>
      <w:color w:val="004F6E"/>
      <w:sz w:val="26"/>
      <w:szCs w:val="26"/>
    </w:rPr>
  </w:style>
  <w:style w:type="paragraph" w:styleId="Heading3">
    <w:name w:val="heading 3"/>
    <w:uiPriority w:val="9"/>
    <w:semiHidden/>
    <w:unhideWhenUsed/>
    <w:qFormat/>
    <w:pPr>
      <w:spacing w:before="160" w:after="80"/>
      <w:outlineLvl w:val="2"/>
    </w:pPr>
    <w:rPr>
      <w:rFonts w:ascii="Georgia" w:eastAsia="Georgia" w:hAnsi="Georgia" w:cs="Georgia"/>
      <w:b/>
      <w:bCs/>
      <w:color w:val="8AAA3A"/>
      <w:sz w:val="23"/>
      <w:szCs w:val="23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D16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1623"/>
  </w:style>
  <w:style w:type="paragraph" w:styleId="Footer">
    <w:name w:val="footer"/>
    <w:basedOn w:val="Normal"/>
    <w:link w:val="FooterChar"/>
    <w:uiPriority w:val="99"/>
    <w:unhideWhenUsed/>
    <w:rsid w:val="00AD16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1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Ali Stinson</cp:lastModifiedBy>
  <cp:revision>3</cp:revision>
  <dcterms:created xsi:type="dcterms:W3CDTF">2026-07-15T14:42:00Z</dcterms:created>
  <dcterms:modified xsi:type="dcterms:W3CDTF">2026-07-15T14:42:00Z</dcterms:modified>
</cp:coreProperties>
</file>